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2"/>
        <w:gridCol w:w="4252"/>
      </w:tblGrid>
      <w:tr w:rsidR="00F16308" w:rsidRPr="00F16308" w:rsidTr="00F16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308" w:rsidRPr="00F16308" w:rsidRDefault="00F16308" w:rsidP="00F16308">
            <w:pPr>
              <w:spacing w:before="100" w:beforeAutospacing="1" w:after="100" w:afterAutospacing="1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F16308" w:rsidRPr="00F16308" w:rsidRDefault="00F16308" w:rsidP="00F163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</w:tbl>
    <w:p w:rsidR="00E34585" w:rsidRDefault="00E34585" w:rsidP="00F16308">
      <w:pPr>
        <w:spacing w:before="100" w:beforeAutospacing="1" w:after="100" w:afterAutospacing="1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</w:p>
    <w:p w:rsidR="00E34585" w:rsidRDefault="00E34585" w:rsidP="00F16308">
      <w:pPr>
        <w:spacing w:before="100" w:beforeAutospacing="1" w:after="100" w:afterAutospacing="1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F16308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La FDA concede a </w:t>
      </w:r>
      <w:proofErr w:type="spellStart"/>
      <w:r w:rsidRPr="00F16308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la revisión prioritaria para la prevención </w:t>
      </w:r>
      <w:r w:rsidRPr="00E3458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drawing>
          <wp:inline distT="0" distB="0" distL="0" distR="0">
            <wp:extent cx="476250" cy="485775"/>
            <wp:effectExtent l="19050" t="0" r="0" b="0"/>
            <wp:docPr id="3" name="Imagen 1" descr="http://svadcf.es/documentos/noticias/general/img/56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adcf.es/documentos/noticias/general/img/564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58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Pr="00F16308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secundaria de ECV</w:t>
      </w:r>
      <w:r w:rsidRPr="00E34585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t xml:space="preserve"> </w:t>
      </w:r>
    </w:p>
    <w:p w:rsidR="00F16308" w:rsidRDefault="00F16308" w:rsidP="00F16308">
      <w:pPr>
        <w:spacing w:before="100" w:beforeAutospacing="1" w:after="100" w:afterAutospacing="1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F16308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La revisión prioritaria se indica en prevención secundaria de eventos cardiovasculares (ECV) en pacientes con síndrome coronario agudo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Bayer y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Janssen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Research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&amp;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Development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compañías colaboradoras en el desarrollo de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han anunciado recientemente que las autoridades sanitarias de EEUU, FDA, han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concendido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la revisión prioritaria a la solicitud complementaria de autorización de nuevo medicamento, enviada el 29 de diciembre de 2011, del anticoagulante oral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en combinación con el tratamiento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antiagregante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plaquetario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estándar, para reducir el riesgo de eventos cardiovasculares (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trombóticos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 en pacientes con síndrome coronario agudo (SCA).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 FDA concede el procedimiento de revisión prioritaria cuando los datos presentados sobre un medicamento representan un avance terapéutico significativo, o cuando proporciona tratamiento a una patología para la que no existían terapias adecuadas. Según la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Prescription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Drug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User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Fee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Act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la FDA finalizará su revisión en los seis meses siguientes a la solicitud complementaria de autorización de nuevo medicamento, en lugar de los diez meses de duración estándar del proceso de revisión.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“La concesión de la revisión prioritaria de la FDA para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un paso muy importante para conseguir poner este tratamiento a disposición de los pacientes estadounidenses con síndrome coronario agudo” ha comentado el Dr.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Kemal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Malik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miembro del Comité Ejecutivo de Bayer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HealthCare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 solicitud de autorización se basó en los resultados del estudio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pivotal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Fase III ATLAS ACS 2-TIMI 51, presentado en las Sesiones Científicas del congreso de la American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Heart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Association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(AHA) en 2011 y publicados de forma simultánea a su presentación por la revista </w:t>
      </w:r>
      <w:r w:rsidRPr="00F16308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New </w:t>
      </w:r>
      <w:proofErr w:type="spellStart"/>
      <w:r w:rsidRPr="00F16308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England</w:t>
      </w:r>
      <w:proofErr w:type="spellEnd"/>
      <w:r w:rsidRPr="00F16308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Journal</w:t>
      </w:r>
      <w:proofErr w:type="spellEnd"/>
      <w:r w:rsidRPr="00F16308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 of Medicine </w:t>
      </w: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(10.1056/NEJMoa1112277). En este estudio se demostró que el anticoagulante oral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2,5 mg, dos veces al día, combinado con el tratamiento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antiagregante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plaquetario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estándar, reduce significativamente la variable principal de eficacia combinada de muerte cardiovascular, infarto de miocardio e ictus en pacientes con síndrome coronario agudo (SCA) en comparación con aquellos que recibieron sólo la terapia estándar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antiagregante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Además,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2,5 mg dos veces al día, en combinación con la terapia estándar, reduce significativamente la tasa de muerte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cardiovacular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la incidencia de mortalidad por cualquier causa en más de un 30% frente al tratamiento estándar en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monoterapia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estudio también mostró que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2,5 mg dos veces al día, en combinación con el tratamiento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antiagregante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plaquetario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estándar, presentó una mayor tasa de eventos de hemorragia TIMI mayor no asociada con cirugía de bypass de la arteria coronaria, aunque el riesgo de hemorragia mortal no se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vió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aumentado, en comparación con el tratamiento estándar en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monoterapia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Acerca de </w:t>
      </w:r>
      <w:proofErr w:type="spellStart"/>
      <w:r w:rsidRPr="00F16308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un nuevo anticoagulante oral descubierto en los laboratorios de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Wuppertal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Bayer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HealthCare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Alemania, y está siendo desarrollado conjuntamente por Bayer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HealthCare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Johnson &amp; Johnson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Pharmaceutical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Research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&amp;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Development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LLC. A principios de febrero Bayer y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Almirall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anunciaron un acuerdo para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co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-promocionar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España, que empezará en los próximos meses. 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medicamento tiene un rápido inicio de acción con una dosis-respuesta predecible, alta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biodisponibilidad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no necesita control periódico de la coagulación, y tiene un riesgo bajo de interacción con alimentos y otros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medicamentos.Rivaroxaban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 comercializa para la prevención de la enfermedad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tromboembólica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venosa (ETV) en pacientes adultos tras cirugía de reemplazo de cadera o rodilla y es el único anticoagulante oral que ha demostrado de manera consistente superior eficacia frente a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enoxaparina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esta indicación. Hasta la fecha,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está aprobado en más de 110 países en todo el mundo y es comercializado por Bayer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HealthCare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esta indicación fuera de Estados Unidos. </w:t>
      </w: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  <w:t xml:space="preserve">En los EE.UU., donde se comercializa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desde julio de 2011 para la prevención del TEV en pacientes adultos después de la cirugía electiva de cadera o de rodilla,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Janssen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Pharmaceuticals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Inc. (una compañía de Johnson &amp; Johnson) tiene los derechos de comercialización. La fuerza de ventas de Bayer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HealthCare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está apoyando a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Janssen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Pharmaceuticals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Inc. en determinados hospitales. El 5 de noviembre de 2011,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recibió la aprobación de comercialización en los EE.UU. para la prevención del ictus en pacientes con fibrilación auricular. </w:t>
      </w:r>
    </w:p>
    <w:p w:rsidR="00E34585" w:rsidRPr="00F16308" w:rsidRDefault="00E34585" w:rsidP="00E3458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amplio programa de ensayos clínicos de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hace de él el inhibidor directo del factor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Xa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más estudiado en el mundo. Más de 75.000 pacientes están participando en el programa de desarrollo clínico de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rivaroxaban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evaluará el fármaco en la prevención y tratamiento de una amplia variedad de patologías </w:t>
      </w:r>
      <w:proofErr w:type="spellStart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tromboembólicas</w:t>
      </w:r>
      <w:proofErr w:type="spellEnd"/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venosas y arteriales, incluida la prevención de ictus en pacientes con fibrilación auricular, el tratamiento de la ETV y la prevención secundaria de episodios agudos en pacientes con síndrome coronario (SCA). </w:t>
      </w:r>
    </w:p>
    <w:p w:rsidR="00E34585" w:rsidRPr="00F16308" w:rsidRDefault="00E34585" w:rsidP="00E34585">
      <w:pPr>
        <w:spacing w:before="100" w:beforeAutospacing="1" w:after="100" w:afterAutospacing="1"/>
        <w:jc w:val="lef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F16308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Para más información sobre trombosis: </w:t>
      </w:r>
      <w:hyperlink r:id="rId5" w:tgtFrame="_blank" w:history="1">
        <w:r w:rsidRPr="00F16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www.thrombosisadviser.es</w:t>
        </w:r>
      </w:hyperlink>
    </w:p>
    <w:p w:rsidR="002454A0" w:rsidRDefault="00E34585">
      <w:r>
        <w:t>Boletín Vademecum.es    del 12 de marzo de 2012</w:t>
      </w:r>
    </w:p>
    <w:sectPr w:rsidR="002454A0" w:rsidSect="00245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16308"/>
    <w:rsid w:val="002454A0"/>
    <w:rsid w:val="003B583F"/>
    <w:rsid w:val="009A0779"/>
    <w:rsid w:val="00B23137"/>
    <w:rsid w:val="00E34585"/>
    <w:rsid w:val="00F1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A0"/>
  </w:style>
  <w:style w:type="paragraph" w:styleId="Ttulo4">
    <w:name w:val="heading 4"/>
    <w:basedOn w:val="Normal"/>
    <w:link w:val="Ttulo4Car"/>
    <w:uiPriority w:val="9"/>
    <w:qFormat/>
    <w:rsid w:val="00F1630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paragraph" w:styleId="Ttulo5">
    <w:name w:val="heading 5"/>
    <w:basedOn w:val="Normal"/>
    <w:link w:val="Ttulo5Car"/>
    <w:uiPriority w:val="9"/>
    <w:qFormat/>
    <w:rsid w:val="00F16308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F16308"/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F1630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F163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63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nfasis">
    <w:name w:val="Emphasis"/>
    <w:basedOn w:val="Fuentedeprrafopredeter"/>
    <w:uiPriority w:val="20"/>
    <w:qFormat/>
    <w:rsid w:val="00F16308"/>
    <w:rPr>
      <w:i/>
      <w:iCs/>
    </w:rPr>
  </w:style>
  <w:style w:type="character" w:styleId="Textoennegrita">
    <w:name w:val="Strong"/>
    <w:basedOn w:val="Fuentedeprrafopredeter"/>
    <w:uiPriority w:val="22"/>
    <w:qFormat/>
    <w:rsid w:val="00F1630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3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rombosisadviser.es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813</Words>
  <Characters>4476</Characters>
  <Application>Microsoft Office Word</Application>
  <DocSecurity>0</DocSecurity>
  <Lines>37</Lines>
  <Paragraphs>10</Paragraphs>
  <ScaleCrop>false</ScaleCrop>
  <Company>Windows uE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2012-03-13T11:00:00Z</dcterms:created>
  <dcterms:modified xsi:type="dcterms:W3CDTF">2012-03-13T11:03:00Z</dcterms:modified>
</cp:coreProperties>
</file>